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77777777" w:rsidR="0046454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2A973904" w14:textId="77777777" w:rsidR="0046454C" w:rsidRPr="0033327E" w:rsidRDefault="0046454C" w:rsidP="000258FF">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61309D6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21132647" w14:textId="77777777" w:rsidR="0061237D" w:rsidRPr="0033327E" w:rsidRDefault="0061237D"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bookmarkStart w:id="0" w:name="_GoBack"/>
      <w:bookmarkEnd w:id="0"/>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lastRenderedPageBreak/>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58752D9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22629B3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3BE8C6D9"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C214C12" w14:textId="31C3BDC1"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5470353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FB56CF1"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1E21591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0063341A" w14:textId="3455E909"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antepuesto al monto correspondiente. </w:t>
      </w:r>
    </w:p>
    <w:p w14:paraId="78D28922"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FE3C654"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03C58D0"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4627E44D" w14:textId="3ED595B2"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036E356B"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603FC6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1F5B2AF"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59D4CC2C" w14:textId="01C56BF3"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40467EAA" w14:textId="77777777" w:rsidR="0033327E" w:rsidRPr="0033327E" w:rsidRDefault="0033327E" w:rsidP="000258FF">
      <w:pPr>
        <w:pStyle w:val="Prrafodelista"/>
        <w:spacing w:after="0" w:line="240" w:lineRule="auto"/>
        <w:contextualSpacing w:val="0"/>
        <w:rPr>
          <w:rFonts w:ascii="Soberana Sans" w:hAnsi="Soberana Sans" w:cstheme="minorHAnsi"/>
          <w:sz w:val="20"/>
          <w:szCs w:val="20"/>
        </w:rPr>
      </w:pPr>
    </w:p>
    <w:p w14:paraId="0DCB0333" w14:textId="0D87ADDA" w:rsidR="0033327E" w:rsidRDefault="0033327E"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13C733CE" w14:textId="77777777" w:rsidR="00E93F9B" w:rsidRDefault="00E93F9B" w:rsidP="000258FF">
      <w:pPr>
        <w:pStyle w:val="Prrafodelista"/>
        <w:spacing w:after="0" w:line="240" w:lineRule="auto"/>
        <w:contextualSpacing w:val="0"/>
        <w:rPr>
          <w:rFonts w:ascii="Soberana Sans" w:hAnsi="Soberana Sans" w:cstheme="minorHAnsi"/>
          <w:sz w:val="20"/>
          <w:szCs w:val="20"/>
        </w:rPr>
      </w:pPr>
    </w:p>
    <w:p w14:paraId="2925374C" w14:textId="31BBB110" w:rsidR="00E93F9B" w:rsidRDefault="00E93F9B" w:rsidP="000258FF">
      <w:pPr>
        <w:numPr>
          <w:ilvl w:val="0"/>
          <w:numId w:val="15"/>
        </w:numPr>
        <w:tabs>
          <w:tab w:val="num" w:pos="720"/>
        </w:tabs>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7CF691B6" w14:textId="77777777" w:rsidR="008A35B6" w:rsidRDefault="008A35B6" w:rsidP="000258FF">
      <w:pPr>
        <w:pStyle w:val="Prrafodelista"/>
        <w:spacing w:after="0" w:line="240" w:lineRule="auto"/>
        <w:contextualSpacing w:val="0"/>
        <w:rPr>
          <w:rFonts w:ascii="Soberana Sans" w:hAnsi="Soberana Sans" w:cstheme="minorHAnsi"/>
          <w:sz w:val="20"/>
          <w:szCs w:val="20"/>
        </w:rPr>
      </w:pPr>
    </w:p>
    <w:p w14:paraId="67BA5DCC" w14:textId="74A3E06F" w:rsidR="008A35B6" w:rsidRPr="000258FF" w:rsidRDefault="008A35B6"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w:t>
      </w:r>
      <w:r w:rsidRPr="0033327E">
        <w:rPr>
          <w:rFonts w:ascii="Soberana Sans" w:hAnsi="Soberana Sans" w:cs="Georgia"/>
          <w:bCs/>
          <w:sz w:val="20"/>
          <w:szCs w:val="20"/>
        </w:rPr>
        <w:lastRenderedPageBreak/>
        <w:t>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08F3A9B6"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1DD31090" w14:textId="1AA2AB6B" w:rsidR="000258FF" w:rsidRPr="000258FF" w:rsidRDefault="000258FF"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51AB7D02"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2DFA039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aaaammdd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00B8873C"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237</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99"/>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33503C">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33503C">
        <w:trPr>
          <w:trHeight w:val="345"/>
        </w:trPr>
        <w:tc>
          <w:tcPr>
            <w:tcW w:w="466" w:type="dxa"/>
            <w:tcBorders>
              <w:top w:val="nil"/>
              <w:left w:val="single" w:sz="8" w:space="0" w:color="D9D9D9"/>
              <w:bottom w:val="single" w:sz="8"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nil"/>
              <w:left w:val="nil"/>
              <w:bottom w:val="single" w:sz="8"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nil"/>
              <w:left w:val="nil"/>
              <w:bottom w:val="single" w:sz="8"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8"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8"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77DCA35" w14:textId="5C3D7D5D" w:rsidR="003B5173" w:rsidRDefault="003B5173" w:rsidP="00FA3E25">
      <w:pPr>
        <w:pStyle w:val="Texto"/>
        <w:spacing w:after="0" w:line="240" w:lineRule="auto"/>
        <w:ind w:left="900" w:hanging="612"/>
        <w:jc w:val="center"/>
        <w:rPr>
          <w:rFonts w:ascii="Soberana Sans" w:hAnsi="Soberana Sans" w:cs="Georgia"/>
          <w:b/>
          <w:bCs/>
          <w:sz w:val="20"/>
          <w:szCs w:val="20"/>
        </w:rPr>
      </w:pP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lastRenderedPageBreak/>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3AA089C3" w:rsidR="00BF5E0C" w:rsidRDefault="00BF5E0C" w:rsidP="003B5173">
      <w:pPr>
        <w:pStyle w:val="Encabezado"/>
        <w:ind w:left="360"/>
        <w:jc w:val="both"/>
        <w:rPr>
          <w:rFonts w:ascii="Soberana Sans" w:hAnsi="Soberana Sans" w:cs="Georgia"/>
          <w:sz w:val="20"/>
          <w:szCs w:val="20"/>
        </w:rPr>
      </w:pPr>
    </w:p>
    <w:p w14:paraId="3BD1C551" w14:textId="4F2A5D29" w:rsidR="00FA3E25" w:rsidRDefault="00FA3E25" w:rsidP="003B5173">
      <w:pPr>
        <w:pStyle w:val="Encabezado"/>
        <w:ind w:left="360"/>
        <w:jc w:val="both"/>
        <w:rPr>
          <w:rFonts w:ascii="Soberana Sans" w:hAnsi="Soberana Sans" w:cs="Georgia"/>
          <w:sz w:val="20"/>
          <w:szCs w:val="20"/>
        </w:rPr>
      </w:pPr>
    </w:p>
    <w:p w14:paraId="2744D286" w14:textId="21711F79" w:rsidR="00FA3E25" w:rsidRDefault="00FA3E25" w:rsidP="003B5173">
      <w:pPr>
        <w:pStyle w:val="Encabezado"/>
        <w:ind w:left="360"/>
        <w:jc w:val="both"/>
        <w:rPr>
          <w:rFonts w:ascii="Soberana Sans" w:hAnsi="Soberana Sans" w:cs="Georgia"/>
          <w:sz w:val="20"/>
          <w:szCs w:val="20"/>
        </w:rPr>
      </w:pPr>
    </w:p>
    <w:p w14:paraId="0BD12852" w14:textId="0948E9D3" w:rsidR="00FA3E25" w:rsidRDefault="00FA3E25" w:rsidP="003B5173">
      <w:pPr>
        <w:pStyle w:val="Encabezado"/>
        <w:ind w:left="360"/>
        <w:jc w:val="both"/>
        <w:rPr>
          <w:rFonts w:ascii="Soberana Sans" w:hAnsi="Soberana Sans" w:cs="Georgia"/>
          <w:sz w:val="20"/>
          <w:szCs w:val="20"/>
        </w:rPr>
      </w:pPr>
    </w:p>
    <w:p w14:paraId="4D3F0C08" w14:textId="77777777" w:rsidR="00FA3E25" w:rsidRPr="0033327E" w:rsidRDefault="00FA3E25" w:rsidP="003B5173">
      <w:pPr>
        <w:pStyle w:val="Encabezado"/>
        <w:ind w:left="360"/>
        <w:jc w:val="both"/>
        <w:rPr>
          <w:rFonts w:ascii="Soberana Sans" w:hAnsi="Soberana Sans" w:cs="Georgia"/>
          <w:sz w:val="20"/>
          <w:szCs w:val="20"/>
        </w:rPr>
      </w:pPr>
    </w:p>
    <w:p w14:paraId="235D0876" w14:textId="2FEAEB80" w:rsidR="00051DA8" w:rsidRPr="0033327E"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lastRenderedPageBreak/>
        <w:t>EJEMPLO 1:</w:t>
      </w: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073D45B1" w:rsidR="002C5FA9" w:rsidRDefault="002C5FA9" w:rsidP="003B5173">
      <w:pPr>
        <w:jc w:val="both"/>
        <w:rPr>
          <w:rFonts w:ascii="Soberana Sans" w:hAnsi="Soberana Sans" w:cs="Georgia"/>
          <w:sz w:val="20"/>
          <w:szCs w:val="20"/>
        </w:rPr>
      </w:pPr>
    </w:p>
    <w:p w14:paraId="54A73B1E" w14:textId="6F27C107" w:rsidR="002C5FA9" w:rsidRDefault="002C5FA9" w:rsidP="003B5173">
      <w:pPr>
        <w:jc w:val="both"/>
        <w:rPr>
          <w:rFonts w:ascii="Soberana Sans" w:hAnsi="Soberana Sans" w:cs="Georgia"/>
          <w:sz w:val="20"/>
          <w:szCs w:val="20"/>
        </w:rPr>
      </w:pPr>
    </w:p>
    <w:p w14:paraId="63252493" w14:textId="63C5FBB3" w:rsidR="002C5FA9" w:rsidRDefault="002C5FA9" w:rsidP="003B5173">
      <w:pPr>
        <w:jc w:val="both"/>
        <w:rPr>
          <w:rFonts w:ascii="Soberana Sans" w:hAnsi="Soberana Sans" w:cs="Georgia"/>
          <w:sz w:val="20"/>
          <w:szCs w:val="20"/>
        </w:rPr>
      </w:pPr>
    </w:p>
    <w:p w14:paraId="4CF31A49" w14:textId="5F0B569F"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0B5C1E80" w:rsidR="00051DA8" w:rsidRPr="0033327E" w:rsidRDefault="00051DA8" w:rsidP="003B5173">
      <w:pPr>
        <w:pStyle w:val="Encabezado"/>
        <w:ind w:left="360"/>
        <w:jc w:val="both"/>
        <w:rPr>
          <w:rFonts w:ascii="Soberana Sans" w:hAnsi="Soberana Sans" w:cs="Georgia"/>
          <w:sz w:val="20"/>
          <w:szCs w:val="20"/>
        </w:rPr>
      </w:pPr>
    </w:p>
    <w:p w14:paraId="483C2B08" w14:textId="6893EFD0" w:rsidR="00051DA8" w:rsidRPr="0033327E" w:rsidRDefault="002C5FA9" w:rsidP="003B5173">
      <w:pPr>
        <w:pStyle w:val="Texto"/>
        <w:spacing w:line="240" w:lineRule="auto"/>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8869088">
            <wp:simplePos x="0" y="0"/>
            <wp:positionH relativeFrom="margin">
              <wp:posOffset>244475</wp:posOffset>
            </wp:positionH>
            <wp:positionV relativeFrom="paragraph">
              <wp:posOffset>15875</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B9F62" w14:textId="777777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05F2AADB" w14:textId="77777777" w:rsidR="00BF5E0C" w:rsidRPr="0033327E" w:rsidRDefault="00BF5E0C" w:rsidP="003B5173">
      <w:pPr>
        <w:pStyle w:val="Encabezado"/>
        <w:jc w:val="both"/>
        <w:rPr>
          <w:rFonts w:ascii="Soberana Sans" w:hAnsi="Soberana Sans" w:cs="Arial"/>
          <w:b/>
          <w:bCs/>
          <w:sz w:val="20"/>
          <w:szCs w:val="20"/>
        </w:rPr>
      </w:pPr>
    </w:p>
    <w:p w14:paraId="49915353" w14:textId="77777777" w:rsidR="00BF5E0C" w:rsidRPr="0033327E" w:rsidRDefault="00BF5E0C" w:rsidP="003B5173">
      <w:pPr>
        <w:pStyle w:val="Encabezado"/>
        <w:jc w:val="both"/>
        <w:rPr>
          <w:rFonts w:ascii="Soberana Sans" w:hAnsi="Soberana Sans" w:cs="Arial"/>
          <w:b/>
          <w:bCs/>
          <w:sz w:val="20"/>
          <w:szCs w:val="20"/>
        </w:rPr>
      </w:pPr>
    </w:p>
    <w:p w14:paraId="673660BB" w14:textId="77777777" w:rsidR="00BF5E0C" w:rsidRPr="0033327E" w:rsidRDefault="00BF5E0C" w:rsidP="003B5173">
      <w:pPr>
        <w:pStyle w:val="Encabezado"/>
        <w:jc w:val="both"/>
        <w:rPr>
          <w:rFonts w:ascii="Soberana Sans" w:hAnsi="Soberana Sans" w:cs="Arial"/>
          <w:b/>
          <w:bCs/>
          <w:sz w:val="20"/>
          <w:szCs w:val="20"/>
        </w:rPr>
      </w:pPr>
    </w:p>
    <w:p w14:paraId="53641ADD" w14:textId="77777777" w:rsidR="002C5FA9" w:rsidRDefault="002C5FA9" w:rsidP="003B5173">
      <w:pPr>
        <w:pStyle w:val="Encabezado"/>
        <w:jc w:val="center"/>
        <w:rPr>
          <w:rFonts w:ascii="Soberana Sans" w:hAnsi="Soberana Sans" w:cs="Arial"/>
          <w:b/>
          <w:bCs/>
          <w:sz w:val="20"/>
          <w:szCs w:val="20"/>
        </w:rPr>
      </w:pPr>
    </w:p>
    <w:p w14:paraId="41EDCA34" w14:textId="77777777" w:rsidR="002C5FA9" w:rsidRDefault="002C5FA9" w:rsidP="003B5173">
      <w:pPr>
        <w:pStyle w:val="Encabezado"/>
        <w:jc w:val="center"/>
        <w:rPr>
          <w:rFonts w:ascii="Soberana Sans" w:hAnsi="Soberana Sans" w:cs="Arial"/>
          <w:b/>
          <w:bCs/>
          <w:sz w:val="20"/>
          <w:szCs w:val="20"/>
        </w:rPr>
      </w:pPr>
    </w:p>
    <w:p w14:paraId="049C496E" w14:textId="77777777" w:rsidR="002C5FA9" w:rsidRDefault="002C5FA9" w:rsidP="003B5173">
      <w:pPr>
        <w:pStyle w:val="Encabezado"/>
        <w:jc w:val="center"/>
        <w:rPr>
          <w:rFonts w:ascii="Soberana Sans" w:hAnsi="Soberana Sans" w:cs="Arial"/>
          <w:b/>
          <w:bCs/>
          <w:sz w:val="20"/>
          <w:szCs w:val="20"/>
        </w:rPr>
      </w:pPr>
    </w:p>
    <w:p w14:paraId="51B26174" w14:textId="05DF53D4"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lastRenderedPageBreak/>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1"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1"/>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2" w:name="_Hlk8745196"/>
      <w:bookmarkStart w:id="3"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2"/>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3"/>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2355B947"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237</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lastRenderedPageBreak/>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4"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4"/>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r>
      <w:bookmarkStart w:id="5"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7F613619"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 xml:space="preserve">Dp = Número de días </w:t>
      </w:r>
      <w:r w:rsidR="00E93F9B">
        <w:rPr>
          <w:rFonts w:ascii="Soberana Sans" w:hAnsi="Soberana Sans" w:cstheme="minorHAnsi"/>
          <w:sz w:val="20"/>
          <w:szCs w:val="20"/>
        </w:rPr>
        <w:t>transcurridos a la fecha del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72B4C7EA" w:rsidR="00051DA8" w:rsidRPr="0033327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End w:id="5"/>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 se llenará con |0|</w:t>
      </w:r>
      <w:r w:rsidR="00C74ED6">
        <w:rPr>
          <w:rFonts w:ascii="Soberana Sans" w:hAnsi="Soberana Sans" w:cs="Georgia"/>
          <w:sz w:val="20"/>
          <w:szCs w:val="20"/>
        </w:rPr>
        <w:t xml:space="preserve"> o bien 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r w:rsidR="00465DC4" w:rsidRPr="0033327E">
        <w:rPr>
          <w:rFonts w:ascii="Soberana Sans" w:hAnsi="Soberana Sans" w:cs="Georgia"/>
          <w:sz w:val="20"/>
          <w:szCs w:val="20"/>
        </w:rPr>
        <w:t>.</w:t>
      </w:r>
    </w:p>
    <w:p w14:paraId="124A2074" w14:textId="77777777" w:rsidR="0056356E" w:rsidRPr="0033327E" w:rsidRDefault="0056356E" w:rsidP="00FA3E25">
      <w:pPr>
        <w:pStyle w:val="Texto"/>
        <w:spacing w:after="0" w:line="240" w:lineRule="auto"/>
        <w:ind w:left="720" w:firstLine="0"/>
        <w:rPr>
          <w:rFonts w:ascii="Soberana Sans" w:hAnsi="Soberana Sans" w:cs="Georgia"/>
          <w:b/>
          <w:bCs/>
          <w:sz w:val="20"/>
          <w:szCs w:val="20"/>
        </w:rPr>
      </w:pPr>
    </w:p>
    <w:p w14:paraId="40CBBA7D" w14:textId="1C5B3D1F"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lastRenderedPageBreak/>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549782CD"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6" w:name="_Hlk8160848"/>
      <w:r w:rsidR="00F30B87" w:rsidRPr="0033327E">
        <w:rPr>
          <w:rFonts w:ascii="Soberana Sans" w:hAnsi="Soberana Sans" w:cs="Georgia"/>
          <w:sz w:val="20"/>
          <w:szCs w:val="20"/>
        </w:rPr>
        <w:t>por el cual el asegurado fue atendido</w:t>
      </w:r>
      <w:bookmarkEnd w:id="6"/>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0CF75C62"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 xml:space="preserve">ocurrido </w:t>
      </w:r>
      <w:r w:rsidRPr="0033327E">
        <w:rPr>
          <w:rFonts w:ascii="Soberana Sans" w:hAnsi="Soberana Sans" w:cs="Georgia"/>
          <w:sz w:val="20"/>
          <w:szCs w:val="20"/>
        </w:rPr>
        <w:t>(incluyendo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hospitalización, incluyendo los gastos por hospitalización, exámenes de laboratorio y de imagenología, estudios de gabinete, medicamentos y demás gastos por otros conceptos. </w:t>
      </w:r>
    </w:p>
    <w:p w14:paraId="4E503DA3" w14:textId="6E05801F"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ocurrido</w:t>
      </w:r>
      <w:r w:rsidRPr="0033327E">
        <w:rPr>
          <w:rFonts w:ascii="Soberana Sans" w:hAnsi="Soberana Sans" w:cs="Georgia"/>
          <w:sz w:val="20"/>
          <w:szCs w:val="20"/>
        </w:rPr>
        <w:t xml:space="preserve"> (incluyendo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xml:space="preserve">) del hospital o del centro ambulatorio principal (en caso de no tener la clave </w:t>
      </w:r>
      <w:proofErr w:type="gramStart"/>
      <w:r w:rsidR="00051DA8" w:rsidRPr="0033327E">
        <w:rPr>
          <w:rFonts w:ascii="Soberana Sans" w:hAnsi="Soberana Sans" w:cs="Georgia"/>
          <w:sz w:val="20"/>
          <w:szCs w:val="20"/>
        </w:rPr>
        <w:t>del mismo</w:t>
      </w:r>
      <w:proofErr w:type="gramEnd"/>
      <w:r w:rsidR="00051DA8" w:rsidRPr="0033327E">
        <w:rPr>
          <w:rFonts w:ascii="Soberana Sans" w:hAnsi="Soberana Sans" w:cs="Georgia"/>
          <w:sz w:val="20"/>
          <w:szCs w:val="20"/>
        </w:rPr>
        <w:t>,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49D1EA45"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lastRenderedPageBreak/>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de acuerdo con el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7" w:name="_Hlk8161802"/>
      <w:r w:rsidRPr="0033327E">
        <w:rPr>
          <w:rFonts w:ascii="Soberana Sans" w:hAnsi="Soberana Sans" w:cs="Georgia"/>
          <w:bCs/>
          <w:sz w:val="20"/>
          <w:szCs w:val="20"/>
        </w:rPr>
        <w:t>Se reportará el procedimiento por el cual el asegurado fue atendido de acuerdo con el catálogo 82 o CPT-4.</w:t>
      </w:r>
    </w:p>
    <w:bookmarkEnd w:id="7"/>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w:t>
      </w:r>
      <w:proofErr w:type="gramStart"/>
      <w:r w:rsidRPr="0033327E">
        <w:rPr>
          <w:rFonts w:ascii="Soberana Sans" w:eastAsia="Times New Roman" w:hAnsi="Soberana Sans" w:cs="Georgia"/>
          <w:bCs/>
          <w:sz w:val="20"/>
          <w:szCs w:val="20"/>
          <w:lang w:val="es-ES" w:eastAsia="es-ES"/>
        </w:rPr>
        <w:t>de acuerdo al</w:t>
      </w:r>
      <w:proofErr w:type="gramEnd"/>
      <w:r w:rsidRPr="0033327E">
        <w:rPr>
          <w:rFonts w:ascii="Soberana Sans" w:eastAsia="Times New Roman" w:hAnsi="Soberana Sans" w:cs="Georgia"/>
          <w:bCs/>
          <w:sz w:val="20"/>
          <w:szCs w:val="20"/>
          <w:lang w:val="es-ES" w:eastAsia="es-ES"/>
        </w:rPr>
        <w:t xml:space="preserve"> catálogo 232.</w:t>
      </w:r>
    </w:p>
    <w:p w14:paraId="4F5F7D6D" w14:textId="3763C870"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Este monto deberá incluir el importe correspondiente al copago o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lastRenderedPageBreak/>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 xml:space="preserve">En caso de que el asegurado a quien corresponda el registro haya acudido a consultas de detección de cáncer cérvico uterino, de mama o de próstata, se especificará el resultado de cada una de las pruebas, </w:t>
      </w:r>
      <w:proofErr w:type="gramStart"/>
      <w:r w:rsidR="000F7CA8" w:rsidRPr="0033327E">
        <w:rPr>
          <w:rFonts w:ascii="Soberana Sans" w:eastAsia="Times New Roman" w:hAnsi="Soberana Sans" w:cs="Georgia"/>
          <w:bCs/>
          <w:sz w:val="20"/>
          <w:szCs w:val="20"/>
          <w:lang w:val="es-ES" w:eastAsia="es-ES"/>
        </w:rPr>
        <w:t>de acuerdo al</w:t>
      </w:r>
      <w:proofErr w:type="gramEnd"/>
      <w:r w:rsidR="000F7CA8" w:rsidRPr="0033327E">
        <w:rPr>
          <w:rFonts w:ascii="Soberana Sans" w:eastAsia="Times New Roman" w:hAnsi="Soberana Sans" w:cs="Georgia"/>
          <w:bCs/>
          <w:sz w:val="20"/>
          <w:szCs w:val="20"/>
          <w:lang w:val="es-ES" w:eastAsia="es-ES"/>
        </w:rPr>
        <w:t xml:space="preserve"> catálogo 67. Este campo tiene 3 caracteres, en el primero se registrará el resultado de la prueba de detección de cáncer cérvico uterino, en el segundo el correspondiente al cáncer de mama y en el tercero al cáncer de próstata.</w:t>
      </w:r>
    </w:p>
    <w:p w14:paraId="41BE02B1" w14:textId="5ADC2BB3" w:rsidR="00415ED1" w:rsidRPr="0033327E" w:rsidRDefault="00415ED1" w:rsidP="005439D9">
      <w:pPr>
        <w:pStyle w:val="Prrafodelista"/>
        <w:numPr>
          <w:ilvl w:val="0"/>
          <w:numId w:val="27"/>
        </w:numPr>
        <w:spacing w:before="120" w:after="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w:t>
      </w:r>
      <w:proofErr w:type="gramStart"/>
      <w:r w:rsidR="003B5173" w:rsidRPr="0033327E">
        <w:rPr>
          <w:rFonts w:ascii="Soberana Sans" w:hAnsi="Soberana Sans" w:cs="Georgia"/>
          <w:sz w:val="20"/>
          <w:szCs w:val="20"/>
        </w:rPr>
        <w:t>de acuerdo al</w:t>
      </w:r>
      <w:proofErr w:type="gramEnd"/>
      <w:r w:rsidR="003B5173" w:rsidRPr="0033327E">
        <w:rPr>
          <w:rFonts w:ascii="Soberana Sans" w:hAnsi="Soberana Sans" w:cs="Georgia"/>
          <w:sz w:val="20"/>
          <w:szCs w:val="20"/>
        </w:rPr>
        <w:t xml:space="preserve">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317A120C" w14:textId="77777777" w:rsidR="00051DA8" w:rsidRPr="0033327E" w:rsidRDefault="00051DA8" w:rsidP="005439D9">
      <w:pPr>
        <w:pStyle w:val="Texto"/>
        <w:spacing w:after="0" w:line="240" w:lineRule="auto"/>
        <w:ind w:firstLine="289"/>
        <w:rPr>
          <w:rFonts w:ascii="Soberana Sans" w:hAnsi="Soberana Sans" w:cs="Georgia"/>
          <w:b/>
          <w:bCs/>
          <w:sz w:val="20"/>
          <w:szCs w:val="20"/>
          <w:lang w:val="es-ES_tradnl"/>
        </w:rPr>
      </w:pP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E1340" w14:textId="77777777" w:rsidR="00943BD9" w:rsidRDefault="00943BD9" w:rsidP="00F726A5">
      <w:r>
        <w:separator/>
      </w:r>
    </w:p>
  </w:endnote>
  <w:endnote w:type="continuationSeparator" w:id="0">
    <w:p w14:paraId="2F27CF2B" w14:textId="77777777" w:rsidR="00943BD9" w:rsidRDefault="00943BD9"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77B3" w14:textId="77777777" w:rsidR="00943BD9" w:rsidRDefault="00943BD9" w:rsidP="00F726A5">
      <w:r>
        <w:separator/>
      </w:r>
    </w:p>
  </w:footnote>
  <w:footnote w:type="continuationSeparator" w:id="0">
    <w:p w14:paraId="76E65424" w14:textId="77777777" w:rsidR="00943BD9" w:rsidRDefault="00943BD9"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24BA"/>
    <w:rsid w:val="00024F2B"/>
    <w:rsid w:val="000258FF"/>
    <w:rsid w:val="00026932"/>
    <w:rsid w:val="00031AA1"/>
    <w:rsid w:val="00044BFC"/>
    <w:rsid w:val="00051DA8"/>
    <w:rsid w:val="00055851"/>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784E"/>
    <w:rsid w:val="00191FDC"/>
    <w:rsid w:val="001A0BF3"/>
    <w:rsid w:val="001A340C"/>
    <w:rsid w:val="001B112F"/>
    <w:rsid w:val="001B56AE"/>
    <w:rsid w:val="001B74CD"/>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3C"/>
    <w:rsid w:val="0036003F"/>
    <w:rsid w:val="00361A13"/>
    <w:rsid w:val="00364E48"/>
    <w:rsid w:val="0037474B"/>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75A1"/>
    <w:rsid w:val="003D1D3F"/>
    <w:rsid w:val="003D6920"/>
    <w:rsid w:val="003E3E1D"/>
    <w:rsid w:val="003F082E"/>
    <w:rsid w:val="003F0D71"/>
    <w:rsid w:val="00401D0E"/>
    <w:rsid w:val="00403642"/>
    <w:rsid w:val="00410E79"/>
    <w:rsid w:val="00412DCA"/>
    <w:rsid w:val="00414361"/>
    <w:rsid w:val="00415E89"/>
    <w:rsid w:val="00415ED1"/>
    <w:rsid w:val="00420AEF"/>
    <w:rsid w:val="0042223C"/>
    <w:rsid w:val="0042231D"/>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B0A80"/>
    <w:rsid w:val="005B5562"/>
    <w:rsid w:val="005B5A49"/>
    <w:rsid w:val="005B61D8"/>
    <w:rsid w:val="005C06A4"/>
    <w:rsid w:val="005C5E64"/>
    <w:rsid w:val="005D0C63"/>
    <w:rsid w:val="005D0CBE"/>
    <w:rsid w:val="005D1670"/>
    <w:rsid w:val="005D1EC2"/>
    <w:rsid w:val="005E5874"/>
    <w:rsid w:val="005E6AA9"/>
    <w:rsid w:val="005F1430"/>
    <w:rsid w:val="005F38D3"/>
    <w:rsid w:val="00600754"/>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40D0D"/>
    <w:rsid w:val="0084576A"/>
    <w:rsid w:val="0085232B"/>
    <w:rsid w:val="00855CD2"/>
    <w:rsid w:val="00871729"/>
    <w:rsid w:val="00887808"/>
    <w:rsid w:val="0089056C"/>
    <w:rsid w:val="00890FE3"/>
    <w:rsid w:val="008965C1"/>
    <w:rsid w:val="008973B5"/>
    <w:rsid w:val="008A35B6"/>
    <w:rsid w:val="008C167A"/>
    <w:rsid w:val="008C60DC"/>
    <w:rsid w:val="008D2391"/>
    <w:rsid w:val="008D4630"/>
    <w:rsid w:val="008E16B6"/>
    <w:rsid w:val="008E1B67"/>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E0FFA"/>
    <w:rsid w:val="009F3C31"/>
    <w:rsid w:val="009F7FAF"/>
    <w:rsid w:val="00A178D7"/>
    <w:rsid w:val="00A219DB"/>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454B"/>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E477D"/>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ZUWP26PT267V-208-465</_dlc_DocId>
    <_dlc_DocIdUrl xmlns="fbb82a6a-a961-4754-99c6-5e8b59674839">
      <Url>https://www.cnsf.gob.mx/Sistemas/_layouts/15/DocIdRedir.aspx?ID=ZUWP26PT267V-208-465</Url>
      <Description>ZUWP26PT267V-208-465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F1BB2-A12D-419C-B194-D81288A9D551}"/>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425EBFF-A3C1-451B-BED8-E2DDD3DEB38C}"/>
</file>

<file path=customXml/itemProps4.xml><?xml version="1.0" encoding="utf-8"?>
<ds:datastoreItem xmlns:ds="http://schemas.openxmlformats.org/officeDocument/2006/customXml" ds:itemID="{15992077-F989-42D1-A60B-59B2C00E5BA1}"/>
</file>

<file path=customXml/itemProps5.xml><?xml version="1.0" encoding="utf-8"?>
<ds:datastoreItem xmlns:ds="http://schemas.openxmlformats.org/officeDocument/2006/customXml" ds:itemID="{15D2B0D5-37DD-4CE6-B441-B94F571F326E}"/>
</file>

<file path=docProps/app.xml><?xml version="1.0" encoding="utf-8"?>
<Properties xmlns="http://schemas.openxmlformats.org/officeDocument/2006/extended-properties" xmlns:vt="http://schemas.openxmlformats.org/officeDocument/2006/docPropsVTypes">
  <Template>Normal</Template>
  <TotalTime>0</TotalTime>
  <Pages>15</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4</cp:revision>
  <cp:lastPrinted>2019-05-16T16:31:00Z</cp:lastPrinted>
  <dcterms:created xsi:type="dcterms:W3CDTF">2019-08-15T18:29:00Z</dcterms:created>
  <dcterms:modified xsi:type="dcterms:W3CDTF">2019-09-04T14:18:00Z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dfc4b748-b2b2-42a1-a830-9b31eb24d534</vt:lpwstr>
  </property>
</Properties>
</file>